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0F92" w:rsidRDefault="003F0F92">
      <w:pPr>
        <w:rPr>
          <w:rFonts w:ascii="Arial" w:hAnsi="Arial" w:cs="Arial"/>
          <w:b/>
          <w:sz w:val="32"/>
          <w:szCs w:val="24"/>
        </w:rPr>
      </w:pPr>
      <w:r>
        <w:rPr>
          <w:rFonts w:ascii="Calibri" w:hAnsi="Calibri" w:cs="Times New Roman"/>
          <w:b/>
          <w:noProof/>
          <w:sz w:val="28"/>
          <w:szCs w:val="28"/>
          <w:lang w:eastAsia="de-AT"/>
        </w:rPr>
        <w:drawing>
          <wp:anchor distT="0" distB="0" distL="114300" distR="114300" simplePos="0" relativeHeight="251659264" behindDoc="0" locked="0" layoutInCell="1" allowOverlap="1" wp14:anchorId="1C6040C6" wp14:editId="33A1AADF">
            <wp:simplePos x="0" y="0"/>
            <wp:positionH relativeFrom="column">
              <wp:posOffset>2796540</wp:posOffset>
            </wp:positionH>
            <wp:positionV relativeFrom="paragraph">
              <wp:posOffset>-617220</wp:posOffset>
            </wp:positionV>
            <wp:extent cx="3474720" cy="1552575"/>
            <wp:effectExtent l="0" t="0" r="0" b="952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demenz vernetzen.jpg"/>
                    <pic:cNvPicPr/>
                  </pic:nvPicPr>
                  <pic:blipFill rotWithShape="1">
                    <a:blip r:embed="rId5" cstate="print">
                      <a:extLst>
                        <a:ext uri="{28A0092B-C50C-407E-A947-70E740481C1C}">
                          <a14:useLocalDpi xmlns:a14="http://schemas.microsoft.com/office/drawing/2010/main" val="0"/>
                        </a:ext>
                      </a:extLst>
                    </a:blip>
                    <a:srcRect l="39683" b="61496"/>
                    <a:stretch/>
                  </pic:blipFill>
                  <pic:spPr bwMode="auto">
                    <a:xfrm>
                      <a:off x="0" y="0"/>
                      <a:ext cx="347472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b/>
          <w:sz w:val="32"/>
          <w:szCs w:val="24"/>
        </w:rPr>
        <w:t>Nachdenk</w:t>
      </w:r>
      <w:r w:rsidR="00825FB8" w:rsidRPr="00825FB8">
        <w:rPr>
          <w:rFonts w:ascii="Arial" w:hAnsi="Arial" w:cs="Arial"/>
          <w:b/>
          <w:sz w:val="32"/>
          <w:szCs w:val="24"/>
        </w:rPr>
        <w:t xml:space="preserve">papier: </w:t>
      </w:r>
    </w:p>
    <w:p w:rsidR="00FE68E1" w:rsidRPr="00825FB8" w:rsidRDefault="00825FB8">
      <w:pPr>
        <w:rPr>
          <w:rFonts w:ascii="Arial" w:hAnsi="Arial" w:cs="Arial"/>
          <w:b/>
          <w:sz w:val="32"/>
          <w:szCs w:val="24"/>
        </w:rPr>
      </w:pPr>
      <w:r w:rsidRPr="00825FB8">
        <w:rPr>
          <w:rFonts w:ascii="Arial" w:hAnsi="Arial" w:cs="Arial"/>
          <w:b/>
          <w:sz w:val="32"/>
          <w:szCs w:val="24"/>
        </w:rPr>
        <w:t>Community Nurse</w:t>
      </w:r>
    </w:p>
    <w:p w:rsidR="003F0F92" w:rsidRDefault="003F0F92" w:rsidP="00844AF2">
      <w:pPr>
        <w:rPr>
          <w:rFonts w:ascii="Arial" w:hAnsi="Arial" w:cs="Arial"/>
          <w:b/>
          <w:sz w:val="24"/>
          <w:szCs w:val="24"/>
        </w:rPr>
      </w:pPr>
    </w:p>
    <w:p w:rsidR="003F0F92" w:rsidRDefault="003F0F92" w:rsidP="00844AF2">
      <w:pPr>
        <w:rPr>
          <w:rFonts w:ascii="Arial" w:hAnsi="Arial" w:cs="Arial"/>
          <w:b/>
          <w:sz w:val="24"/>
          <w:szCs w:val="24"/>
        </w:rPr>
      </w:pPr>
    </w:p>
    <w:p w:rsidR="003F0F92" w:rsidRPr="003F0F92" w:rsidRDefault="003F0F92" w:rsidP="00844AF2">
      <w:pPr>
        <w:rPr>
          <w:rFonts w:ascii="Arial" w:hAnsi="Arial" w:cs="Arial"/>
          <w:sz w:val="24"/>
          <w:szCs w:val="24"/>
        </w:rPr>
      </w:pPr>
      <w:r w:rsidRPr="003F0F92">
        <w:rPr>
          <w:rFonts w:ascii="Arial" w:hAnsi="Arial" w:cs="Arial"/>
          <w:sz w:val="24"/>
          <w:szCs w:val="24"/>
        </w:rPr>
        <w:t xml:space="preserve">Das </w:t>
      </w:r>
      <w:r w:rsidRPr="003F0F92">
        <w:rPr>
          <w:rFonts w:ascii="Arial" w:hAnsi="Arial" w:cs="Arial"/>
          <w:b/>
          <w:sz w:val="24"/>
          <w:szCs w:val="24"/>
        </w:rPr>
        <w:t>Ziel</w:t>
      </w:r>
      <w:r w:rsidRPr="003F0F92">
        <w:rPr>
          <w:rFonts w:ascii="Arial" w:hAnsi="Arial" w:cs="Arial"/>
          <w:sz w:val="24"/>
          <w:szCs w:val="24"/>
        </w:rPr>
        <w:t xml:space="preserve"> dieses Papiers ist, Erfahrungen und Anliegen aus demenzfreundlichen Orten und Demenzberatung in den Projektprozess Community Nurse einzubringen. </w:t>
      </w:r>
      <w:r w:rsidR="006C34D1">
        <w:rPr>
          <w:rFonts w:ascii="Arial" w:hAnsi="Arial" w:cs="Arial"/>
          <w:sz w:val="24"/>
          <w:szCs w:val="24"/>
        </w:rPr>
        <w:t xml:space="preserve">Damit sollten u.a. Doppelungen vermieden, Fallen rechtzeitig erkannt und Synergien gut genutzt werden. </w:t>
      </w:r>
    </w:p>
    <w:p w:rsidR="003F0F92" w:rsidRDefault="003F0F92" w:rsidP="00844AF2">
      <w:pPr>
        <w:rPr>
          <w:rFonts w:ascii="Arial" w:hAnsi="Arial" w:cs="Arial"/>
          <w:sz w:val="24"/>
          <w:szCs w:val="24"/>
        </w:rPr>
      </w:pPr>
      <w:r w:rsidRPr="003F0F92">
        <w:rPr>
          <w:rFonts w:ascii="Arial" w:hAnsi="Arial" w:cs="Arial"/>
          <w:b/>
          <w:sz w:val="24"/>
          <w:szCs w:val="24"/>
        </w:rPr>
        <w:t>Grundlage</w:t>
      </w:r>
      <w:r w:rsidRPr="003F0F92">
        <w:rPr>
          <w:rFonts w:ascii="Arial" w:hAnsi="Arial" w:cs="Arial"/>
          <w:sz w:val="24"/>
          <w:szCs w:val="24"/>
        </w:rPr>
        <w:t xml:space="preserve"> des Papiers sind die Eckpunkte des Projekts wie von der GOEG am 3.9.2021 vorgestellt. (</w:t>
      </w:r>
      <w:hyperlink r:id="rId6" w:history="1">
        <w:r w:rsidRPr="003F0F92">
          <w:t>https://goeg.at/Community_Nursing_Oesterreich</w:t>
        </w:r>
      </w:hyperlink>
      <w:r w:rsidRPr="003F0F92">
        <w:rPr>
          <w:rFonts w:ascii="Arial" w:hAnsi="Arial" w:cs="Arial"/>
          <w:sz w:val="24"/>
          <w:szCs w:val="24"/>
        </w:rPr>
        <w:t xml:space="preserve">) </w:t>
      </w:r>
      <w:r>
        <w:rPr>
          <w:rFonts w:ascii="Arial" w:hAnsi="Arial" w:cs="Arial"/>
          <w:sz w:val="24"/>
          <w:szCs w:val="24"/>
        </w:rPr>
        <w:t>Die Hinweise und Forderungen beziehen sich auf das dort skizzierte Szenario.</w:t>
      </w:r>
    </w:p>
    <w:p w:rsidR="003F0F92" w:rsidRDefault="003F0F92" w:rsidP="003F0F92">
      <w:pPr>
        <w:shd w:val="clear" w:color="auto" w:fill="8DB3E2" w:themeFill="text2" w:themeFillTint="66"/>
        <w:rPr>
          <w:rFonts w:ascii="Arial" w:hAnsi="Arial" w:cs="Arial"/>
          <w:sz w:val="24"/>
          <w:szCs w:val="24"/>
        </w:rPr>
      </w:pPr>
      <w:r>
        <w:rPr>
          <w:rFonts w:ascii="Arial" w:hAnsi="Arial" w:cs="Arial"/>
          <w:sz w:val="24"/>
          <w:szCs w:val="24"/>
        </w:rPr>
        <w:t>BEGRIFF</w:t>
      </w:r>
    </w:p>
    <w:p w:rsidR="003F0F92" w:rsidRDefault="003F0F92" w:rsidP="00844AF2">
      <w:pPr>
        <w:rPr>
          <w:rFonts w:ascii="Arial" w:hAnsi="Arial" w:cs="Arial"/>
          <w:sz w:val="24"/>
          <w:szCs w:val="24"/>
        </w:rPr>
      </w:pPr>
      <w:r>
        <w:rPr>
          <w:rFonts w:ascii="Arial" w:hAnsi="Arial" w:cs="Arial"/>
          <w:sz w:val="24"/>
          <w:szCs w:val="24"/>
        </w:rPr>
        <w:t xml:space="preserve">Der Begriff „Community Nurse“ ist für eine Ausrollung in der Zivilgesellschaft nicht geeignet. Er ist </w:t>
      </w:r>
      <w:proofErr w:type="spellStart"/>
      <w:r>
        <w:rPr>
          <w:rFonts w:ascii="Arial" w:hAnsi="Arial" w:cs="Arial"/>
          <w:sz w:val="24"/>
          <w:szCs w:val="24"/>
        </w:rPr>
        <w:t>hochschwellig</w:t>
      </w:r>
      <w:proofErr w:type="spellEnd"/>
      <w:r>
        <w:rPr>
          <w:rFonts w:ascii="Arial" w:hAnsi="Arial" w:cs="Arial"/>
          <w:sz w:val="24"/>
          <w:szCs w:val="24"/>
        </w:rPr>
        <w:t xml:space="preserve"> (Englisch) und stellt einen weiteren Fachbegriff dar, der von Betroffenen im komplexen Angebotsmix nicht gut verstanden werden kann.</w:t>
      </w:r>
    </w:p>
    <w:p w:rsidR="003F0F92" w:rsidRDefault="004032CD" w:rsidP="00844AF2">
      <w:pPr>
        <w:rPr>
          <w:rFonts w:ascii="Arial" w:hAnsi="Arial" w:cs="Arial"/>
          <w:sz w:val="24"/>
          <w:szCs w:val="24"/>
        </w:rPr>
      </w:pPr>
      <w:r>
        <w:rPr>
          <w:rFonts w:ascii="Arial" w:hAnsi="Arial" w:cs="Arial"/>
          <w:sz w:val="24"/>
          <w:szCs w:val="24"/>
        </w:rPr>
        <w:t xml:space="preserve">Die Gefahr ist, dass der offizielle englische Begriff </w:t>
      </w:r>
      <w:r w:rsidR="004F2A96">
        <w:rPr>
          <w:rFonts w:ascii="Arial" w:hAnsi="Arial" w:cs="Arial"/>
          <w:sz w:val="24"/>
          <w:szCs w:val="24"/>
        </w:rPr>
        <w:t>in den einzelnen Gemeinden durch unterschiedliche deutsche Bezeichnungen ersetzt wird. Dies würde die Bekanntheit des Modells und die Orientierung bei den Zielgruppen erschweren.</w:t>
      </w:r>
    </w:p>
    <w:p w:rsidR="009A69D3" w:rsidRDefault="009A69D3" w:rsidP="00844AF2">
      <w:pPr>
        <w:rPr>
          <w:rFonts w:ascii="Arial" w:hAnsi="Arial" w:cs="Arial"/>
          <w:sz w:val="24"/>
          <w:szCs w:val="24"/>
        </w:rPr>
      </w:pPr>
      <w:r>
        <w:rPr>
          <w:rFonts w:ascii="Arial" w:hAnsi="Arial" w:cs="Arial"/>
          <w:sz w:val="24"/>
          <w:szCs w:val="24"/>
        </w:rPr>
        <w:t>Auch die Vermischung bzw. Verwechslung der Begriffe Community Nurse und Community Health Nurse trägt zu Verwirrung bei.</w:t>
      </w:r>
    </w:p>
    <w:p w:rsidR="003F0F92" w:rsidRDefault="004F2A96" w:rsidP="004F2A96">
      <w:pPr>
        <w:shd w:val="clear" w:color="auto" w:fill="8DB3E2" w:themeFill="text2" w:themeFillTint="66"/>
        <w:rPr>
          <w:rFonts w:ascii="Arial" w:hAnsi="Arial" w:cs="Arial"/>
          <w:sz w:val="24"/>
          <w:szCs w:val="24"/>
        </w:rPr>
      </w:pPr>
      <w:r>
        <w:rPr>
          <w:rFonts w:ascii="Arial" w:hAnsi="Arial" w:cs="Arial"/>
          <w:sz w:val="24"/>
          <w:szCs w:val="24"/>
        </w:rPr>
        <w:t>BERUFSGRUPPE</w:t>
      </w:r>
    </w:p>
    <w:p w:rsidR="004F2A96" w:rsidRDefault="004F2A96" w:rsidP="00844AF2">
      <w:pPr>
        <w:rPr>
          <w:rFonts w:ascii="Arial" w:hAnsi="Arial" w:cs="Arial"/>
          <w:sz w:val="24"/>
          <w:szCs w:val="24"/>
        </w:rPr>
      </w:pPr>
      <w:r>
        <w:rPr>
          <w:rFonts w:ascii="Arial" w:hAnsi="Arial" w:cs="Arial"/>
          <w:sz w:val="24"/>
          <w:szCs w:val="24"/>
        </w:rPr>
        <w:t>Die Engführung auf diplomierte Pflegekräfte kann sowohl inhaltlich als auch personaltechnisch problematisch sein</w:t>
      </w:r>
      <w:r w:rsidR="009A69D3">
        <w:rPr>
          <w:rFonts w:ascii="Arial" w:hAnsi="Arial" w:cs="Arial"/>
          <w:sz w:val="24"/>
          <w:szCs w:val="24"/>
        </w:rPr>
        <w:t xml:space="preserve"> – die Personalsituation in der mobilen Pflege ist bereits jetzt angespannt.</w:t>
      </w:r>
      <w:r>
        <w:rPr>
          <w:rFonts w:ascii="Arial" w:hAnsi="Arial" w:cs="Arial"/>
          <w:sz w:val="24"/>
          <w:szCs w:val="24"/>
        </w:rPr>
        <w:t xml:space="preserve"> Die </w:t>
      </w:r>
      <w:r w:rsidR="006A1346">
        <w:rPr>
          <w:rFonts w:ascii="Arial" w:hAnsi="Arial" w:cs="Arial"/>
          <w:sz w:val="24"/>
          <w:szCs w:val="24"/>
        </w:rPr>
        <w:t xml:space="preserve">angedachte </w:t>
      </w:r>
      <w:r>
        <w:rPr>
          <w:rFonts w:ascii="Arial" w:hAnsi="Arial" w:cs="Arial"/>
          <w:sz w:val="24"/>
          <w:szCs w:val="24"/>
        </w:rPr>
        <w:t xml:space="preserve">Zuziehung anderer Berufsgruppen wie Sozialarbeit oder Psycholog*innen </w:t>
      </w:r>
      <w:r w:rsidR="006A1346">
        <w:rPr>
          <w:rFonts w:ascii="Arial" w:hAnsi="Arial" w:cs="Arial"/>
          <w:sz w:val="24"/>
          <w:szCs w:val="24"/>
        </w:rPr>
        <w:t xml:space="preserve">durch die CN </w:t>
      </w:r>
      <w:r>
        <w:rPr>
          <w:rFonts w:ascii="Arial" w:hAnsi="Arial" w:cs="Arial"/>
          <w:sz w:val="24"/>
          <w:szCs w:val="24"/>
        </w:rPr>
        <w:t>ist in strukturschwächeren Gebieten schwierig oder nicht niederschwellig (ohne lange Wege) umsetzbar.</w:t>
      </w:r>
    </w:p>
    <w:p w:rsidR="004F2A96" w:rsidRPr="003F0F92" w:rsidRDefault="004F2A96" w:rsidP="00844AF2">
      <w:pPr>
        <w:rPr>
          <w:rFonts w:ascii="Arial" w:hAnsi="Arial" w:cs="Arial"/>
          <w:sz w:val="24"/>
          <w:szCs w:val="24"/>
        </w:rPr>
      </w:pPr>
      <w:r>
        <w:rPr>
          <w:rFonts w:ascii="Arial" w:hAnsi="Arial" w:cs="Arial"/>
          <w:sz w:val="24"/>
          <w:szCs w:val="24"/>
        </w:rPr>
        <w:t xml:space="preserve">Eine Ausweitung des Zugangs zum Modell auf andere Gruppen, die sich </w:t>
      </w:r>
      <w:r w:rsidR="006A1346">
        <w:rPr>
          <w:rFonts w:ascii="Arial" w:hAnsi="Arial" w:cs="Arial"/>
          <w:sz w:val="24"/>
          <w:szCs w:val="24"/>
        </w:rPr>
        <w:t xml:space="preserve">z.B. </w:t>
      </w:r>
      <w:r>
        <w:rPr>
          <w:rFonts w:ascii="Arial" w:hAnsi="Arial" w:cs="Arial"/>
          <w:sz w:val="24"/>
          <w:szCs w:val="24"/>
        </w:rPr>
        <w:t>in der Demenzberatung bewährt haben, wäre wünschenswert.</w:t>
      </w:r>
    </w:p>
    <w:p w:rsidR="00844AF2" w:rsidRPr="004F2A96" w:rsidRDefault="004F2A96" w:rsidP="004F2A96">
      <w:pPr>
        <w:shd w:val="clear" w:color="auto" w:fill="8DB3E2" w:themeFill="text2" w:themeFillTint="66"/>
        <w:rPr>
          <w:rFonts w:ascii="Arial" w:hAnsi="Arial" w:cs="Arial"/>
          <w:sz w:val="24"/>
          <w:szCs w:val="24"/>
        </w:rPr>
      </w:pPr>
      <w:r w:rsidRPr="004F2A96">
        <w:rPr>
          <w:rFonts w:ascii="Arial" w:hAnsi="Arial" w:cs="Arial"/>
          <w:sz w:val="24"/>
          <w:szCs w:val="24"/>
        </w:rPr>
        <w:t>VORAUSSSETZUNGEN</w:t>
      </w:r>
    </w:p>
    <w:p w:rsidR="004F2A96" w:rsidRDefault="004F2A96" w:rsidP="004F2A96">
      <w:pPr>
        <w:rPr>
          <w:rFonts w:ascii="Arial" w:hAnsi="Arial" w:cs="Arial"/>
          <w:sz w:val="24"/>
          <w:szCs w:val="24"/>
        </w:rPr>
      </w:pPr>
      <w:r w:rsidRPr="004F2A96">
        <w:rPr>
          <w:rFonts w:ascii="Arial" w:hAnsi="Arial" w:cs="Arial"/>
          <w:sz w:val="24"/>
          <w:szCs w:val="24"/>
        </w:rPr>
        <w:t xml:space="preserve">Im Modell </w:t>
      </w:r>
      <w:r>
        <w:rPr>
          <w:rFonts w:ascii="Arial" w:hAnsi="Arial" w:cs="Arial"/>
          <w:sz w:val="24"/>
          <w:szCs w:val="24"/>
        </w:rPr>
        <w:t xml:space="preserve">sind 2 Jahre Berufspraxis </w:t>
      </w:r>
      <w:r w:rsidR="00A04320">
        <w:rPr>
          <w:rFonts w:ascii="Arial" w:hAnsi="Arial" w:cs="Arial"/>
          <w:sz w:val="24"/>
          <w:szCs w:val="24"/>
        </w:rPr>
        <w:t xml:space="preserve">als DGKP </w:t>
      </w:r>
      <w:r>
        <w:rPr>
          <w:rFonts w:ascii="Arial" w:hAnsi="Arial" w:cs="Arial"/>
          <w:sz w:val="24"/>
          <w:szCs w:val="24"/>
        </w:rPr>
        <w:t>erforderlich, 5 Jahre erwünscht. Zusätzlich sind Studiengänge zu systemischen Aspekten erwünscht. Die nötigen Qualifikationen sollten aber auch niederschwelliger</w:t>
      </w:r>
      <w:r w:rsidR="009A69D3">
        <w:rPr>
          <w:rFonts w:ascii="Arial" w:hAnsi="Arial" w:cs="Arial"/>
          <w:sz w:val="24"/>
          <w:szCs w:val="24"/>
        </w:rPr>
        <w:t xml:space="preserve"> (unter FH-Niveau)</w:t>
      </w:r>
      <w:r>
        <w:rPr>
          <w:rFonts w:ascii="Arial" w:hAnsi="Arial" w:cs="Arial"/>
          <w:sz w:val="24"/>
          <w:szCs w:val="24"/>
        </w:rPr>
        <w:t>, etwa in Seminarreihen erworben werden können. Vertieftes, aktuelles Wissen zu häufigen Alterskrankheiten wie Demenz sollte ebenfalls Teil des Qualifikations</w:t>
      </w:r>
      <w:r w:rsidR="006C34D1">
        <w:rPr>
          <w:rFonts w:ascii="Arial" w:hAnsi="Arial" w:cs="Arial"/>
          <w:sz w:val="24"/>
          <w:szCs w:val="24"/>
        </w:rPr>
        <w:t xml:space="preserve">profils sein. Hier </w:t>
      </w:r>
      <w:r w:rsidR="006C34D1">
        <w:rPr>
          <w:rFonts w:ascii="Arial" w:hAnsi="Arial" w:cs="Arial"/>
          <w:sz w:val="24"/>
          <w:szCs w:val="24"/>
        </w:rPr>
        <w:lastRenderedPageBreak/>
        <w:t xml:space="preserve">sollte nicht nur medizinisches Wissen vermittelt werden, sondern auch moderne Ansätze der psychosozialen Bewältigung. </w:t>
      </w:r>
    </w:p>
    <w:p w:rsidR="00844AF2" w:rsidRDefault="009A69D3" w:rsidP="009A69D3">
      <w:pPr>
        <w:rPr>
          <w:rFonts w:ascii="Arial" w:hAnsi="Arial" w:cs="Arial"/>
          <w:sz w:val="24"/>
          <w:szCs w:val="24"/>
        </w:rPr>
      </w:pPr>
      <w:r>
        <w:rPr>
          <w:rFonts w:ascii="Arial" w:hAnsi="Arial" w:cs="Arial"/>
          <w:sz w:val="24"/>
          <w:szCs w:val="24"/>
        </w:rPr>
        <w:t>Jedenfalls ist ein einheitliches Kompetenzprofil anzustreben und die dazu nötigen Fortbildungen sollten mit abgestimmten Curricula angeboten werden.</w:t>
      </w:r>
    </w:p>
    <w:p w:rsidR="00E91D8C" w:rsidRDefault="00844AF2" w:rsidP="00E91D8C">
      <w:pPr>
        <w:shd w:val="clear" w:color="auto" w:fill="8DB3E2" w:themeFill="text2" w:themeFillTint="66"/>
        <w:ind w:left="1134" w:hanging="1134"/>
        <w:rPr>
          <w:rFonts w:ascii="Arial" w:hAnsi="Arial" w:cs="Arial"/>
          <w:sz w:val="24"/>
          <w:szCs w:val="24"/>
        </w:rPr>
      </w:pPr>
      <w:r>
        <w:rPr>
          <w:rFonts w:ascii="Arial" w:hAnsi="Arial" w:cs="Arial"/>
          <w:sz w:val="24"/>
          <w:szCs w:val="24"/>
        </w:rPr>
        <w:t xml:space="preserve">AUFGABEN </w:t>
      </w:r>
      <w:r w:rsidR="006A1346">
        <w:rPr>
          <w:rFonts w:ascii="Arial" w:hAnsi="Arial" w:cs="Arial"/>
          <w:sz w:val="24"/>
          <w:szCs w:val="24"/>
        </w:rPr>
        <w:t xml:space="preserve">UND RESSOURCEN </w:t>
      </w:r>
      <w:r w:rsidR="00E91D8C">
        <w:rPr>
          <w:rFonts w:ascii="Arial" w:hAnsi="Arial" w:cs="Arial"/>
          <w:sz w:val="24"/>
          <w:szCs w:val="24"/>
        </w:rPr>
        <w:t>(Laut Konzept, mit unseren Anmerkungen)</w:t>
      </w:r>
    </w:p>
    <w:p w:rsidR="00E91D8C" w:rsidRDefault="00E91D8C" w:rsidP="002E3065">
      <w:pPr>
        <w:rPr>
          <w:rFonts w:ascii="Arial" w:hAnsi="Arial" w:cs="Arial"/>
          <w:sz w:val="24"/>
          <w:szCs w:val="24"/>
        </w:rPr>
      </w:pPr>
      <w:r w:rsidRPr="00E91D8C">
        <w:rPr>
          <w:rFonts w:ascii="Arial" w:hAnsi="Arial" w:cs="Arial"/>
          <w:i/>
          <w:sz w:val="24"/>
          <w:szCs w:val="24"/>
        </w:rPr>
        <w:t>Mentoring und Erhebung:</w:t>
      </w:r>
      <w:r>
        <w:rPr>
          <w:rFonts w:ascii="Arial" w:hAnsi="Arial" w:cs="Arial"/>
          <w:sz w:val="24"/>
          <w:szCs w:val="24"/>
        </w:rPr>
        <w:t xml:space="preserve"> Hier wäre jedenfalls mitzudenken, ob die CN auch Anzeichen von demenzieller Veränderung erheben soll. Das Gleiche gilt für gesundheitsgefährdende Belastung von Angehörigen und Gewaltpotenzial. </w:t>
      </w:r>
    </w:p>
    <w:p w:rsidR="00E91D8C" w:rsidRDefault="00E91D8C" w:rsidP="00E91D8C">
      <w:pPr>
        <w:rPr>
          <w:rFonts w:ascii="Arial" w:hAnsi="Arial"/>
          <w:sz w:val="24"/>
          <w:szCs w:val="24"/>
        </w:rPr>
      </w:pPr>
      <w:r w:rsidRPr="00E91D8C">
        <w:rPr>
          <w:rFonts w:ascii="Arial" w:hAnsi="Arial" w:cs="Arial"/>
          <w:i/>
          <w:sz w:val="24"/>
          <w:szCs w:val="24"/>
        </w:rPr>
        <w:t>Information, Beratung und Edukation</w:t>
      </w:r>
      <w:r>
        <w:rPr>
          <w:rFonts w:ascii="Arial" w:hAnsi="Arial"/>
          <w:sz w:val="24"/>
          <w:szCs w:val="24"/>
        </w:rPr>
        <w:t xml:space="preserve">: </w:t>
      </w:r>
      <w:r w:rsidR="002E3065">
        <w:rPr>
          <w:rFonts w:ascii="Arial" w:hAnsi="Arial"/>
          <w:sz w:val="24"/>
          <w:szCs w:val="24"/>
        </w:rPr>
        <w:br/>
      </w:r>
      <w:r>
        <w:rPr>
          <w:rFonts w:ascii="Arial" w:hAnsi="Arial"/>
          <w:sz w:val="24"/>
          <w:szCs w:val="24"/>
        </w:rPr>
        <w:t xml:space="preserve">Hier ist unbedingt auf eine gute Einbindung von bestehenden Angeboten zu achten. Wir sehen die Gefahr, dass nach Einstellung der CN andere Angebote aus Kostengründen eingespart werden. Die CN wird aber aus Ressourcengründen nur einen kleinen Teil dieser Aufgaben abdecken bzw. nur verweisen können. Der Erfolg des Modells wird also auch davon abhängen, wie viele externe Angebote dazu vor Ort angeboten werden. </w:t>
      </w:r>
    </w:p>
    <w:p w:rsidR="00E91D8C" w:rsidRDefault="00E91D8C" w:rsidP="00E91D8C">
      <w:pPr>
        <w:rPr>
          <w:rFonts w:ascii="Arial" w:hAnsi="Arial"/>
          <w:sz w:val="24"/>
          <w:szCs w:val="24"/>
        </w:rPr>
      </w:pPr>
      <w:r w:rsidRPr="002E3065">
        <w:rPr>
          <w:rFonts w:ascii="Arial" w:hAnsi="Arial" w:cs="Arial"/>
          <w:i/>
          <w:sz w:val="24"/>
          <w:szCs w:val="24"/>
        </w:rPr>
        <w:t>Pflegeintervention, Koordination und Vernetzung</w:t>
      </w:r>
      <w:r>
        <w:rPr>
          <w:rFonts w:ascii="Arial" w:hAnsi="Arial"/>
          <w:sz w:val="24"/>
          <w:szCs w:val="24"/>
        </w:rPr>
        <w:t>: Die CN braucht erhebliche Zeitressourcen, um für Alterserkrankungen bzw. deren Prävention fachlich und lokal vernetzend auf dem aktuellen Stand zu sein. Diese sind jedenfalls vorzuhalten z.B. im Sinne von Weiterbildungsstunden und Kosten dafür.</w:t>
      </w:r>
    </w:p>
    <w:p w:rsidR="00E91D8C" w:rsidRDefault="00E91D8C" w:rsidP="00E91D8C">
      <w:pPr>
        <w:rPr>
          <w:rFonts w:ascii="Arial" w:eastAsia="Arial" w:hAnsi="Arial" w:cs="Arial"/>
          <w:sz w:val="24"/>
          <w:szCs w:val="24"/>
        </w:rPr>
      </w:pPr>
      <w:r>
        <w:rPr>
          <w:rFonts w:ascii="Arial" w:hAnsi="Arial"/>
          <w:sz w:val="24"/>
          <w:szCs w:val="24"/>
        </w:rPr>
        <w:t xml:space="preserve">Da die CN professionelle Pflegeleistungen im Bedarfsfall verrichten kann und darf, soll sie auch im Umgang mit demenzbetroffenen Menschen so geschult sein, dass sie in der Situation adäquat mit dem betroffenen Menschen und seinem Umfeld agieren kann. Ihr müssen die Zugänge zu psychosozialen Diensten und </w:t>
      </w:r>
      <w:proofErr w:type="spellStart"/>
      <w:r>
        <w:rPr>
          <w:rFonts w:ascii="Arial" w:hAnsi="Arial"/>
          <w:sz w:val="24"/>
          <w:szCs w:val="24"/>
        </w:rPr>
        <w:t>Demenzexpert</w:t>
      </w:r>
      <w:proofErr w:type="spellEnd"/>
      <w:r>
        <w:rPr>
          <w:rFonts w:ascii="Arial" w:hAnsi="Arial"/>
          <w:sz w:val="24"/>
          <w:szCs w:val="24"/>
        </w:rPr>
        <w:t>*</w:t>
      </w:r>
      <w:r w:rsidR="009A69D3">
        <w:rPr>
          <w:rFonts w:ascii="Arial" w:hAnsi="Arial"/>
          <w:sz w:val="24"/>
          <w:szCs w:val="24"/>
        </w:rPr>
        <w:t>i</w:t>
      </w:r>
      <w:r>
        <w:rPr>
          <w:rFonts w:ascii="Arial" w:hAnsi="Arial"/>
          <w:sz w:val="24"/>
          <w:szCs w:val="24"/>
        </w:rPr>
        <w:t>nnen zur Verfügung stehen, um sie im Bedarfsfall vermitteln zu können.</w:t>
      </w:r>
    </w:p>
    <w:p w:rsidR="00E91D8C" w:rsidRDefault="009A69D3" w:rsidP="00E91D8C">
      <w:pPr>
        <w:rPr>
          <w:rFonts w:ascii="Arial" w:hAnsi="Arial" w:cs="Arial"/>
          <w:sz w:val="24"/>
          <w:szCs w:val="24"/>
        </w:rPr>
      </w:pPr>
      <w:r>
        <w:rPr>
          <w:rFonts w:ascii="Arial" w:hAnsi="Arial" w:cs="Arial"/>
          <w:sz w:val="24"/>
          <w:szCs w:val="24"/>
        </w:rPr>
        <w:t xml:space="preserve">Toolkits mit approbiertem Material </w:t>
      </w:r>
      <w:r w:rsidR="00E91D8C">
        <w:rPr>
          <w:rFonts w:ascii="Arial" w:hAnsi="Arial" w:cs="Arial"/>
          <w:sz w:val="24"/>
          <w:szCs w:val="24"/>
        </w:rPr>
        <w:t xml:space="preserve">sollte für alle CN für Beratungen und Schulungen zur Verfügung stehen, idealerweise mit Eindruck lokaler Angebote. </w:t>
      </w:r>
    </w:p>
    <w:p w:rsidR="00E91D8C" w:rsidRDefault="00E91D8C" w:rsidP="00E91D8C">
      <w:pPr>
        <w:rPr>
          <w:rFonts w:ascii="Arial" w:hAnsi="Arial" w:cs="Arial"/>
          <w:sz w:val="24"/>
          <w:szCs w:val="24"/>
        </w:rPr>
      </w:pPr>
      <w:r>
        <w:rPr>
          <w:rFonts w:ascii="Arial" w:hAnsi="Arial"/>
          <w:sz w:val="24"/>
          <w:szCs w:val="24"/>
        </w:rPr>
        <w:t>Es sollte jedenfalls vermieden werden, dass die CN Aufgaben der mobilen Pflege übernimmt. Dies könnte z.B. passieren, wenn sie bei einem Träger in einem mobilen Team angestellt ist und dort Engpässe ausgleichen soll.</w:t>
      </w:r>
      <w:r w:rsidR="009A69D3">
        <w:rPr>
          <w:rFonts w:ascii="Arial" w:hAnsi="Arial"/>
          <w:sz w:val="24"/>
          <w:szCs w:val="24"/>
        </w:rPr>
        <w:t xml:space="preserve"> Umgekehrt ist zu bedenken, wie eine Vertretungsregelung bei freiberuflichen CN aussehen kann und dass eine Vertretung jedenfalls gesichert sein sollte. </w:t>
      </w:r>
    </w:p>
    <w:p w:rsidR="002E3065" w:rsidRDefault="002E3065" w:rsidP="002E3065">
      <w:pPr>
        <w:rPr>
          <w:rFonts w:ascii="Arial" w:hAnsi="Arial" w:cs="Arial"/>
          <w:sz w:val="24"/>
          <w:szCs w:val="24"/>
        </w:rPr>
      </w:pPr>
      <w:r w:rsidRPr="002E3065">
        <w:rPr>
          <w:rFonts w:ascii="Arial" w:hAnsi="Arial" w:cs="Arial"/>
          <w:sz w:val="24"/>
          <w:szCs w:val="24"/>
        </w:rPr>
        <w:t>Die</w:t>
      </w:r>
      <w:r>
        <w:rPr>
          <w:rFonts w:ascii="Arial" w:hAnsi="Arial" w:cs="Arial"/>
          <w:sz w:val="24"/>
          <w:szCs w:val="24"/>
        </w:rPr>
        <w:t xml:space="preserve"> Zeitressourcen für die Vernetzung dürfen nicht zu gering angesetzt werden. Wenn vor Ort keine alters-/demenzspezifischen Netzwerke vorhanden sind, braucht es eine lange Phase des Vertrauens- und Netzwerkaufbaus und danach kontinuierliche Kontaktpflege. Sollen Netzwerke vorhanden sein ist darauf zu achten, dass sich diese nicht rückbilden (</w:t>
      </w:r>
      <w:proofErr w:type="gramStart"/>
      <w:r>
        <w:rPr>
          <w:rFonts w:ascii="Arial" w:hAnsi="Arial" w:cs="Arial"/>
          <w:sz w:val="24"/>
          <w:szCs w:val="24"/>
        </w:rPr>
        <w:t>z.B.</w:t>
      </w:r>
      <w:proofErr w:type="gramEnd"/>
      <w:r>
        <w:rPr>
          <w:rFonts w:ascii="Arial" w:hAnsi="Arial" w:cs="Arial"/>
          <w:sz w:val="24"/>
          <w:szCs w:val="24"/>
        </w:rPr>
        <w:t xml:space="preserve"> weil Ressourcen gekürzt werden, weil ja nun eine CN zuständig sei).</w:t>
      </w:r>
    </w:p>
    <w:p w:rsidR="004E6998" w:rsidRPr="002E3065" w:rsidRDefault="004E6998" w:rsidP="002E3065">
      <w:pPr>
        <w:rPr>
          <w:rFonts w:ascii="Arial" w:hAnsi="Arial" w:cs="Arial"/>
          <w:sz w:val="24"/>
          <w:szCs w:val="24"/>
        </w:rPr>
      </w:pPr>
      <w:r>
        <w:rPr>
          <w:rFonts w:ascii="Arial" w:hAnsi="Arial" w:cs="Arial"/>
          <w:sz w:val="24"/>
          <w:szCs w:val="24"/>
        </w:rPr>
        <w:lastRenderedPageBreak/>
        <w:t>Eine aktive Einbindung in Netzwerke und Plattformen ist anzustreben (z.B. im Rahmen von Demenzstrategien).</w:t>
      </w:r>
    </w:p>
    <w:p w:rsidR="002E3065" w:rsidRDefault="002E3065" w:rsidP="002E3065">
      <w:pPr>
        <w:rPr>
          <w:rFonts w:ascii="Arial" w:hAnsi="Arial" w:cs="Arial"/>
          <w:sz w:val="24"/>
          <w:szCs w:val="24"/>
        </w:rPr>
      </w:pPr>
      <w:r w:rsidRPr="002E3065">
        <w:rPr>
          <w:rFonts w:ascii="Arial" w:hAnsi="Arial" w:cs="Arial"/>
          <w:i/>
          <w:sz w:val="24"/>
          <w:szCs w:val="24"/>
        </w:rPr>
        <w:t>Fürsprache und Interessensvertretung</w:t>
      </w:r>
      <w:r>
        <w:rPr>
          <w:rFonts w:ascii="Arial" w:hAnsi="Arial" w:cs="Arial"/>
          <w:i/>
          <w:sz w:val="24"/>
          <w:szCs w:val="24"/>
        </w:rPr>
        <w:br/>
      </w:r>
      <w:r>
        <w:rPr>
          <w:rFonts w:ascii="Arial" w:hAnsi="Arial" w:cs="Arial"/>
          <w:sz w:val="24"/>
          <w:szCs w:val="24"/>
        </w:rPr>
        <w:t>Dieser Punkt scheint noch sehr vage definiert. Bei Anstellung in der Gemeinde könnten sich daraus Chancen, aber auch Konfliktpotenzial ergeben. Für diese Aufgabe sind neben einer genaueren Definition auch Bildungsmaßnahmen nötig.</w:t>
      </w:r>
    </w:p>
    <w:p w:rsidR="004E6998" w:rsidRDefault="004E6998" w:rsidP="002E3065">
      <w:pPr>
        <w:rPr>
          <w:rFonts w:ascii="Arial" w:hAnsi="Arial" w:cs="Arial"/>
          <w:sz w:val="24"/>
          <w:szCs w:val="24"/>
        </w:rPr>
      </w:pPr>
      <w:r>
        <w:rPr>
          <w:rFonts w:ascii="Arial" w:hAnsi="Arial" w:cs="Arial"/>
          <w:sz w:val="24"/>
          <w:szCs w:val="24"/>
        </w:rPr>
        <w:t>Von Seiten der politisch-administrativen Strukturen sollte die Einbindung der CN jedenfalls mitgedacht und gewollt sein. Es müssen Funktionen und Räume für sie eröffnet werden, diese Aufgabe auch zu erfüllen.</w:t>
      </w:r>
    </w:p>
    <w:p w:rsidR="004E6998" w:rsidRPr="00274154" w:rsidRDefault="004E6998" w:rsidP="002E3065">
      <w:pPr>
        <w:rPr>
          <w:rFonts w:ascii="Arial" w:hAnsi="Arial" w:cs="Arial"/>
          <w:sz w:val="24"/>
          <w:szCs w:val="24"/>
          <w:lang w:val="de-AT"/>
        </w:rPr>
      </w:pPr>
    </w:p>
    <w:p w:rsidR="002E3065" w:rsidRDefault="002E3065" w:rsidP="002E3065">
      <w:pPr>
        <w:shd w:val="clear" w:color="auto" w:fill="8DB3E2" w:themeFill="text2" w:themeFillTint="66"/>
        <w:rPr>
          <w:rFonts w:ascii="Arial" w:hAnsi="Arial" w:cs="Arial"/>
          <w:sz w:val="24"/>
          <w:szCs w:val="24"/>
        </w:rPr>
      </w:pPr>
      <w:r>
        <w:rPr>
          <w:rFonts w:ascii="Arial" w:hAnsi="Arial" w:cs="Arial"/>
          <w:sz w:val="24"/>
          <w:szCs w:val="24"/>
        </w:rPr>
        <w:t>INTENSITÄT DER KONTAKTE</w:t>
      </w:r>
    </w:p>
    <w:p w:rsidR="002E3065" w:rsidRDefault="002E3065" w:rsidP="002E3065">
      <w:pPr>
        <w:rPr>
          <w:rFonts w:ascii="Arial" w:hAnsi="Arial" w:cs="Arial"/>
          <w:sz w:val="24"/>
          <w:szCs w:val="24"/>
        </w:rPr>
      </w:pPr>
      <w:r>
        <w:rPr>
          <w:rFonts w:ascii="Arial" w:hAnsi="Arial" w:cs="Arial"/>
          <w:sz w:val="24"/>
          <w:szCs w:val="24"/>
        </w:rPr>
        <w:t xml:space="preserve">Unbedingt zu klären ist der „Cut off“, also der Punkt, an dem die CN eine betreute Person oder Familie an ein anderes Versorgungssystem übergibt. Unsere Erfahrung zeigt, dass gerade die Lotsenfunktion durch die Systeme und die vertrauensvolle Begleitung im Verlauf progredienter Erkrankungen ein wesentliches Bedürfnis von Betroffenen sind. Bloße Hinweise auf andere Angebote reichen hier nicht aus. </w:t>
      </w:r>
      <w:r w:rsidR="006A1346">
        <w:rPr>
          <w:rFonts w:ascii="Arial" w:hAnsi="Arial" w:cs="Arial"/>
          <w:sz w:val="24"/>
          <w:szCs w:val="24"/>
        </w:rPr>
        <w:t xml:space="preserve">Eine langfristige Begleitung wie z.B. im schottischen Model des Post </w:t>
      </w:r>
      <w:proofErr w:type="spellStart"/>
      <w:r w:rsidR="006A1346">
        <w:rPr>
          <w:rFonts w:ascii="Arial" w:hAnsi="Arial" w:cs="Arial"/>
          <w:sz w:val="24"/>
          <w:szCs w:val="24"/>
        </w:rPr>
        <w:t>Diagnostic</w:t>
      </w:r>
      <w:proofErr w:type="spellEnd"/>
      <w:r w:rsidR="006A1346">
        <w:rPr>
          <w:rFonts w:ascii="Arial" w:hAnsi="Arial" w:cs="Arial"/>
          <w:sz w:val="24"/>
          <w:szCs w:val="24"/>
        </w:rPr>
        <w:t xml:space="preserve"> Support ist wünschenswert. Die Zielgruppen sind durch zahlreiche Kontakte oft überfordert und können die Angebote nicht gut verstehen und in der Folge annehmen. Hier sollte die CN nicht zusätzlich Unruhe, sondern Stabilität vermitteln.</w:t>
      </w:r>
    </w:p>
    <w:p w:rsidR="002E3065" w:rsidRPr="002E3065" w:rsidRDefault="002E3065" w:rsidP="002E3065">
      <w:pPr>
        <w:shd w:val="clear" w:color="auto" w:fill="8DB3E2" w:themeFill="text2" w:themeFillTint="66"/>
        <w:rPr>
          <w:rFonts w:ascii="Arial" w:hAnsi="Arial" w:cs="Arial"/>
          <w:sz w:val="24"/>
          <w:szCs w:val="24"/>
        </w:rPr>
      </w:pPr>
      <w:r>
        <w:rPr>
          <w:rFonts w:ascii="Arial" w:hAnsi="Arial" w:cs="Arial"/>
          <w:sz w:val="24"/>
          <w:szCs w:val="24"/>
        </w:rPr>
        <w:t>ZUSAMMENSPIEL MIT ANDEREN ANGEBOTEN</w:t>
      </w:r>
    </w:p>
    <w:p w:rsidR="006A1346" w:rsidRDefault="002E3065" w:rsidP="00BA6FF0">
      <w:pPr>
        <w:rPr>
          <w:rFonts w:ascii="Arial" w:hAnsi="Arial" w:cs="Arial"/>
          <w:sz w:val="24"/>
          <w:szCs w:val="24"/>
        </w:rPr>
      </w:pPr>
      <w:r w:rsidRPr="002E3065">
        <w:rPr>
          <w:rFonts w:ascii="Arial" w:hAnsi="Arial" w:cs="Arial"/>
          <w:sz w:val="24"/>
          <w:szCs w:val="24"/>
        </w:rPr>
        <w:t xml:space="preserve">Die Abklärung </w:t>
      </w:r>
      <w:r>
        <w:rPr>
          <w:rFonts w:ascii="Arial" w:hAnsi="Arial" w:cs="Arial"/>
          <w:sz w:val="24"/>
          <w:szCs w:val="24"/>
        </w:rPr>
        <w:t xml:space="preserve">des Zusammenhangs der CN mit anderen Angeboten ist unbedingt gut zu klären. Es darf in ihrer Tätigkeit zu keinen Interessenkonflikten (zwischen Trägern) oder Doppelung von Angeboten kommen. </w:t>
      </w:r>
    </w:p>
    <w:p w:rsidR="002E3065" w:rsidRPr="002E3065" w:rsidRDefault="002E3065" w:rsidP="00BA6FF0">
      <w:pPr>
        <w:rPr>
          <w:rFonts w:ascii="Arial" w:hAnsi="Arial" w:cs="Arial"/>
          <w:sz w:val="24"/>
          <w:szCs w:val="24"/>
        </w:rPr>
      </w:pPr>
      <w:r>
        <w:rPr>
          <w:rFonts w:ascii="Arial" w:hAnsi="Arial" w:cs="Arial"/>
          <w:sz w:val="24"/>
          <w:szCs w:val="24"/>
        </w:rPr>
        <w:t>Genauso kritisch ist die Rücknahme von bestehenden etablierten Angeboten zu sehen (z.B. Demenz</w:t>
      </w:r>
      <w:r>
        <w:rPr>
          <w:rFonts w:ascii="Arial" w:hAnsi="Arial" w:cs="Arial"/>
          <w:sz w:val="24"/>
          <w:szCs w:val="24"/>
        </w:rPr>
        <w:softHyphen/>
        <w:t>beratung wird nicht länger gefördert, weil CN vor Ort). Für die Kund*innen darf sich keine Verwirrung oder Leistungspatchwork ergeben (z.B. mit Angehörigengesprächen des Ministeriums oder ähnlichen Angeboten</w:t>
      </w:r>
      <w:r w:rsidR="006A1346">
        <w:rPr>
          <w:rFonts w:ascii="Arial" w:hAnsi="Arial" w:cs="Arial"/>
          <w:sz w:val="24"/>
          <w:szCs w:val="24"/>
        </w:rPr>
        <w:t xml:space="preserve">, mit Kontaktbesuchsdiensten </w:t>
      </w:r>
      <w:proofErr w:type="spellStart"/>
      <w:r w:rsidR="006A1346">
        <w:rPr>
          <w:rFonts w:ascii="Arial" w:hAnsi="Arial" w:cs="Arial"/>
          <w:sz w:val="24"/>
          <w:szCs w:val="24"/>
        </w:rPr>
        <w:t>etc</w:t>
      </w:r>
      <w:proofErr w:type="spellEnd"/>
      <w:r>
        <w:rPr>
          <w:rFonts w:ascii="Arial" w:hAnsi="Arial" w:cs="Arial"/>
          <w:sz w:val="24"/>
          <w:szCs w:val="24"/>
        </w:rPr>
        <w:t>).</w:t>
      </w:r>
    </w:p>
    <w:p w:rsidR="00844AF2" w:rsidRDefault="00844AF2" w:rsidP="00844AF2">
      <w:pPr>
        <w:ind w:left="1134" w:hanging="1134"/>
        <w:rPr>
          <w:rFonts w:ascii="Arial" w:hAnsi="Arial" w:cs="Arial"/>
          <w:sz w:val="24"/>
          <w:szCs w:val="24"/>
        </w:rPr>
      </w:pPr>
    </w:p>
    <w:p w:rsidR="006C34D1" w:rsidRDefault="00844AF2" w:rsidP="006C34D1">
      <w:pPr>
        <w:shd w:val="clear" w:color="auto" w:fill="8DB3E2" w:themeFill="text2" w:themeFillTint="66"/>
        <w:ind w:left="1134" w:hanging="1134"/>
        <w:rPr>
          <w:rFonts w:ascii="Arial" w:hAnsi="Arial" w:cs="Arial"/>
          <w:sz w:val="24"/>
          <w:szCs w:val="24"/>
        </w:rPr>
      </w:pPr>
      <w:r>
        <w:rPr>
          <w:rFonts w:ascii="Arial" w:hAnsi="Arial" w:cs="Arial"/>
          <w:sz w:val="24"/>
          <w:szCs w:val="24"/>
        </w:rPr>
        <w:t xml:space="preserve">ANSIEDLUNG </w:t>
      </w:r>
    </w:p>
    <w:p w:rsidR="006C34D1" w:rsidRDefault="006C34D1" w:rsidP="006C34D1">
      <w:pPr>
        <w:rPr>
          <w:rFonts w:ascii="Arial" w:hAnsi="Arial" w:cs="Arial"/>
          <w:sz w:val="24"/>
          <w:szCs w:val="24"/>
        </w:rPr>
      </w:pPr>
      <w:r>
        <w:rPr>
          <w:rFonts w:ascii="Arial" w:hAnsi="Arial" w:cs="Arial"/>
          <w:sz w:val="24"/>
          <w:szCs w:val="24"/>
        </w:rPr>
        <w:t xml:space="preserve">Im Modell sind nur Gemeinden und Städte als Antragssteller zugelassen. Eine Einbindung von Mitarbeiter*innen von Trägern oder Selbständigen ist jedoch möglich. Hier sollte sehr sorgfältig auf Interessenkonflikte </w:t>
      </w:r>
      <w:r w:rsidR="009A69D3">
        <w:rPr>
          <w:rFonts w:ascii="Arial" w:hAnsi="Arial" w:cs="Arial"/>
          <w:sz w:val="24"/>
          <w:szCs w:val="24"/>
        </w:rPr>
        <w:t xml:space="preserve">und eine gut machbare Abrechnungslogik </w:t>
      </w:r>
      <w:r>
        <w:rPr>
          <w:rFonts w:ascii="Arial" w:hAnsi="Arial" w:cs="Arial"/>
          <w:sz w:val="24"/>
          <w:szCs w:val="24"/>
        </w:rPr>
        <w:t xml:space="preserve">geachtet werden. Die Vorteile der Gemeindeanbindung </w:t>
      </w:r>
      <w:r w:rsidR="00274154">
        <w:rPr>
          <w:rFonts w:ascii="Arial" w:hAnsi="Arial" w:cs="Arial"/>
          <w:sz w:val="24"/>
          <w:szCs w:val="24"/>
        </w:rPr>
        <w:t>sind einerseits die Möglichkeit von</w:t>
      </w:r>
      <w:r>
        <w:rPr>
          <w:rFonts w:ascii="Arial" w:hAnsi="Arial" w:cs="Arial"/>
          <w:sz w:val="24"/>
          <w:szCs w:val="24"/>
        </w:rPr>
        <w:t xml:space="preserve"> „Fürsprache“ bei Administration und Politik, Unabhängigkeit von Trägerinteressen</w:t>
      </w:r>
      <w:r w:rsidR="00274154">
        <w:rPr>
          <w:rFonts w:ascii="Arial" w:hAnsi="Arial" w:cs="Arial"/>
          <w:sz w:val="24"/>
          <w:szCs w:val="24"/>
        </w:rPr>
        <w:t xml:space="preserve">. Andererseits könnten durch zu wenig Nähe zu </w:t>
      </w:r>
      <w:r w:rsidR="00274154">
        <w:rPr>
          <w:rFonts w:ascii="Arial" w:hAnsi="Arial" w:cs="Arial"/>
          <w:sz w:val="24"/>
          <w:szCs w:val="24"/>
        </w:rPr>
        <w:lastRenderedPageBreak/>
        <w:t>Trägern auch Doppelgleisigkeiten entstehen und das Wissen um konkrete Bedarfe und Problemstellungen wäre schwieriger zu erheben.</w:t>
      </w:r>
    </w:p>
    <w:p w:rsidR="006C34D1" w:rsidRDefault="006C34D1" w:rsidP="006C34D1">
      <w:pPr>
        <w:rPr>
          <w:rFonts w:ascii="Arial" w:hAnsi="Arial" w:cs="Arial"/>
          <w:sz w:val="24"/>
          <w:szCs w:val="24"/>
        </w:rPr>
      </w:pPr>
      <w:r>
        <w:rPr>
          <w:rFonts w:ascii="Arial" w:hAnsi="Arial" w:cs="Arial"/>
          <w:sz w:val="24"/>
          <w:szCs w:val="24"/>
        </w:rPr>
        <w:t>Bei Selbständigen ist zusätzlich auf mögliche Interessenkonflikte (z.B. durch Verkauf der eigenen Leistungen oder anderen Produkten) zu achten.</w:t>
      </w:r>
    </w:p>
    <w:p w:rsidR="00274154" w:rsidRDefault="00274154" w:rsidP="006C34D1">
      <w:pPr>
        <w:rPr>
          <w:rFonts w:ascii="Arial" w:hAnsi="Arial" w:cs="Arial"/>
          <w:sz w:val="24"/>
          <w:szCs w:val="24"/>
        </w:rPr>
      </w:pPr>
      <w:r>
        <w:rPr>
          <w:rFonts w:ascii="Arial" w:hAnsi="Arial" w:cs="Arial"/>
          <w:sz w:val="24"/>
          <w:szCs w:val="24"/>
        </w:rPr>
        <w:t xml:space="preserve">Jedenfalls dürfen CN nicht zu „Einzelkämpfer*innen“ werden, die sich Daten und Kontakte mühsam erarbeiten und dabei zu wenig Zugriff auf vorhandene Ressourcen vor Ort haben. </w:t>
      </w:r>
    </w:p>
    <w:p w:rsidR="00825FB8" w:rsidRDefault="004E6998" w:rsidP="00274154">
      <w:pPr>
        <w:shd w:val="clear" w:color="auto" w:fill="C6D9F1" w:themeFill="text2" w:themeFillTint="33"/>
        <w:rPr>
          <w:rFonts w:ascii="Arial" w:hAnsi="Arial" w:cs="Arial"/>
          <w:sz w:val="24"/>
          <w:szCs w:val="24"/>
        </w:rPr>
      </w:pPr>
      <w:r>
        <w:rPr>
          <w:rFonts w:ascii="Arial" w:hAnsi="Arial" w:cs="Arial"/>
          <w:sz w:val="24"/>
          <w:szCs w:val="24"/>
        </w:rPr>
        <w:t>LEITUNG UND SUPERVISION</w:t>
      </w:r>
    </w:p>
    <w:p w:rsidR="004E6998" w:rsidRDefault="004E6998">
      <w:pPr>
        <w:rPr>
          <w:rFonts w:ascii="Arial" w:hAnsi="Arial" w:cs="Arial"/>
          <w:sz w:val="24"/>
          <w:szCs w:val="24"/>
        </w:rPr>
      </w:pPr>
      <w:r>
        <w:rPr>
          <w:rFonts w:ascii="Arial" w:hAnsi="Arial" w:cs="Arial"/>
          <w:sz w:val="24"/>
          <w:szCs w:val="24"/>
        </w:rPr>
        <w:t xml:space="preserve">In den aktuellen Unterlagen sind noch keine Überlegungen zur Leitung bzw. Einbindung in unterstützende Angebote wie Supervision enthalten. Es wird wesentlich sein, der CN Klarheit zu bieten, was die Ziele ihrer Tätigkeit und die angebotenen Ressourcen (Bildung, Supervision, Austausch, Mitarbeitergespräche) betrifft. </w:t>
      </w:r>
    </w:p>
    <w:p w:rsidR="006A1346" w:rsidRDefault="006A1346">
      <w:pPr>
        <w:rPr>
          <w:rFonts w:ascii="Arial" w:hAnsi="Arial" w:cs="Arial"/>
          <w:sz w:val="24"/>
          <w:szCs w:val="24"/>
        </w:rPr>
      </w:pPr>
      <w:r>
        <w:rPr>
          <w:rFonts w:ascii="Arial" w:hAnsi="Arial" w:cs="Arial"/>
          <w:sz w:val="24"/>
          <w:szCs w:val="24"/>
        </w:rPr>
        <w:t>Gerade um die Qualität des Angebots zu steuern und Effekte auf die Versorgungslandschaft vor Ort zu erzielen, braucht es eine Einbindung in übergeordnete Ziele und Prozesse.</w:t>
      </w:r>
    </w:p>
    <w:p w:rsidR="00D87B8A" w:rsidRDefault="00FB5F32" w:rsidP="00FB5F32">
      <w:pPr>
        <w:rPr>
          <w:rFonts w:ascii="Arial" w:hAnsi="Arial" w:cs="Arial"/>
          <w:sz w:val="24"/>
          <w:szCs w:val="24"/>
        </w:rPr>
      </w:pPr>
      <w:r w:rsidRPr="00FB5F32">
        <w:rPr>
          <w:rFonts w:ascii="Arial" w:hAnsi="Arial" w:cs="Arial"/>
          <w:sz w:val="24"/>
          <w:szCs w:val="24"/>
        </w:rPr>
        <w:t xml:space="preserve">Eine </w:t>
      </w:r>
      <w:r>
        <w:rPr>
          <w:rFonts w:ascii="Arial" w:hAnsi="Arial" w:cs="Arial"/>
          <w:sz w:val="24"/>
          <w:szCs w:val="24"/>
        </w:rPr>
        <w:t xml:space="preserve">Austauschplattform ist sorgfältig zu gestalten und u.a. die Ressourcen für die Teilnahme mit einzuplanen. Damit soll </w:t>
      </w:r>
      <w:r w:rsidR="00D87B8A">
        <w:rPr>
          <w:rFonts w:ascii="Arial" w:hAnsi="Arial" w:cs="Arial"/>
          <w:sz w:val="24"/>
          <w:szCs w:val="24"/>
        </w:rPr>
        <w:t>vor allem gemeinsames Lernen und Nutzen von Ressourcen geförder</w:t>
      </w:r>
      <w:r w:rsidR="00BC022E">
        <w:rPr>
          <w:rFonts w:ascii="Arial" w:hAnsi="Arial" w:cs="Arial"/>
          <w:sz w:val="24"/>
          <w:szCs w:val="24"/>
        </w:rPr>
        <w:t>t</w:t>
      </w:r>
      <w:r w:rsidR="00D87B8A">
        <w:rPr>
          <w:rFonts w:ascii="Arial" w:hAnsi="Arial" w:cs="Arial"/>
          <w:sz w:val="24"/>
          <w:szCs w:val="24"/>
        </w:rPr>
        <w:t xml:space="preserve"> werden. Die Plattform kann aber auch </w:t>
      </w:r>
      <w:r>
        <w:rPr>
          <w:rFonts w:ascii="Arial" w:hAnsi="Arial" w:cs="Arial"/>
          <w:sz w:val="24"/>
          <w:szCs w:val="24"/>
        </w:rPr>
        <w:t>sicher</w:t>
      </w:r>
      <w:r w:rsidR="00D87B8A">
        <w:rPr>
          <w:rFonts w:ascii="Arial" w:hAnsi="Arial" w:cs="Arial"/>
          <w:sz w:val="24"/>
          <w:szCs w:val="24"/>
        </w:rPr>
        <w:t>stellen</w:t>
      </w:r>
      <w:r w:rsidR="00BC022E">
        <w:rPr>
          <w:rFonts w:ascii="Arial" w:hAnsi="Arial" w:cs="Arial"/>
          <w:sz w:val="24"/>
          <w:szCs w:val="24"/>
        </w:rPr>
        <w:t>,</w:t>
      </w:r>
      <w:r>
        <w:rPr>
          <w:rFonts w:ascii="Arial" w:hAnsi="Arial" w:cs="Arial"/>
          <w:sz w:val="24"/>
          <w:szCs w:val="24"/>
        </w:rPr>
        <w:t xml:space="preserve"> dass die CN wie geplant an systematisierten und nachvollziehbaren Angeboten im Sinne des Projekts arbeiten und nicht für andere Aufgaben ihrer jeweiligen Organisationen abgestellt werden.</w:t>
      </w:r>
    </w:p>
    <w:p w:rsidR="00FB5F32" w:rsidRPr="00554790" w:rsidRDefault="00825FB8" w:rsidP="00FB5F32">
      <w:pPr>
        <w:rPr>
          <w:sz w:val="18"/>
          <w:lang w:val="de-AT"/>
        </w:rPr>
      </w:pPr>
      <w:r w:rsidRPr="00554790">
        <w:rPr>
          <w:rFonts w:ascii="Arial" w:hAnsi="Arial" w:cs="Arial"/>
          <w:b/>
          <w:sz w:val="20"/>
          <w:szCs w:val="24"/>
        </w:rPr>
        <w:t>Mitwirkende</w:t>
      </w:r>
      <w:r w:rsidRPr="00554790">
        <w:rPr>
          <w:rFonts w:ascii="Arial" w:hAnsi="Arial" w:cs="Arial"/>
          <w:sz w:val="20"/>
          <w:szCs w:val="24"/>
        </w:rPr>
        <w:t xml:space="preserve"> </w:t>
      </w:r>
      <w:r w:rsidR="00554790">
        <w:rPr>
          <w:rFonts w:ascii="Arial" w:hAnsi="Arial" w:cs="Arial"/>
          <w:b/>
          <w:sz w:val="20"/>
          <w:szCs w:val="24"/>
        </w:rPr>
        <w:t>&amp;</w:t>
      </w:r>
      <w:r w:rsidRPr="00554790">
        <w:rPr>
          <w:rFonts w:ascii="Arial" w:hAnsi="Arial" w:cs="Arial"/>
          <w:b/>
          <w:sz w:val="20"/>
          <w:szCs w:val="24"/>
        </w:rPr>
        <w:t xml:space="preserve"> Unterstützer*innen</w:t>
      </w:r>
      <w:r w:rsidR="00D87B8A" w:rsidRPr="00554790">
        <w:rPr>
          <w:rFonts w:ascii="Arial" w:hAnsi="Arial" w:cs="Arial"/>
          <w:sz w:val="20"/>
          <w:szCs w:val="24"/>
        </w:rPr>
        <w:t xml:space="preserve"> aus dem </w:t>
      </w:r>
      <w:r w:rsidRPr="00554790">
        <w:rPr>
          <w:rFonts w:ascii="Arial" w:hAnsi="Arial" w:cs="Arial"/>
          <w:sz w:val="20"/>
          <w:szCs w:val="24"/>
        </w:rPr>
        <w:t>Netzwerk Demenzberatung / demenzfreundliche Orte</w:t>
      </w:r>
    </w:p>
    <w:p w:rsidR="000819A2" w:rsidRPr="00554790" w:rsidRDefault="00A04320" w:rsidP="00524E8E">
      <w:pPr>
        <w:pStyle w:val="Listenabsatz"/>
        <w:numPr>
          <w:ilvl w:val="0"/>
          <w:numId w:val="2"/>
        </w:numPr>
        <w:rPr>
          <w:rFonts w:ascii="Arial" w:hAnsi="Arial" w:cs="Arial"/>
          <w:sz w:val="20"/>
        </w:rPr>
      </w:pPr>
      <w:r w:rsidRPr="00554790">
        <w:rPr>
          <w:rFonts w:ascii="Arial" w:hAnsi="Arial" w:cs="Arial"/>
          <w:sz w:val="20"/>
          <w:lang w:val="de-AT"/>
        </w:rPr>
        <w:t>Alzheimer Austri</w:t>
      </w:r>
      <w:r w:rsidR="000819A2" w:rsidRPr="00554790">
        <w:rPr>
          <w:rFonts w:ascii="Arial" w:hAnsi="Arial" w:cs="Arial"/>
          <w:sz w:val="20"/>
          <w:lang w:val="de-AT"/>
        </w:rPr>
        <w:t>a</w:t>
      </w:r>
    </w:p>
    <w:p w:rsidR="007B02AD" w:rsidRPr="00554790" w:rsidRDefault="007B02AD" w:rsidP="00524E8E">
      <w:pPr>
        <w:pStyle w:val="Listenabsatz"/>
        <w:numPr>
          <w:ilvl w:val="0"/>
          <w:numId w:val="2"/>
        </w:numPr>
        <w:rPr>
          <w:rFonts w:ascii="Arial" w:hAnsi="Arial" w:cs="Arial"/>
          <w:sz w:val="20"/>
        </w:rPr>
      </w:pPr>
      <w:r w:rsidRPr="00554790">
        <w:rPr>
          <w:rFonts w:ascii="Arial" w:hAnsi="Arial" w:cs="Arial"/>
          <w:sz w:val="20"/>
        </w:rPr>
        <w:t>Promenz</w:t>
      </w:r>
    </w:p>
    <w:p w:rsidR="007B02AD" w:rsidRPr="00554790" w:rsidRDefault="007B02AD" w:rsidP="007B02AD">
      <w:pPr>
        <w:pStyle w:val="Listenabsatz"/>
        <w:numPr>
          <w:ilvl w:val="0"/>
          <w:numId w:val="2"/>
        </w:numPr>
        <w:rPr>
          <w:rFonts w:ascii="Arial" w:hAnsi="Arial" w:cs="Arial"/>
          <w:sz w:val="20"/>
          <w:lang w:val="de-AT"/>
        </w:rPr>
      </w:pPr>
      <w:r w:rsidRPr="00554790">
        <w:rPr>
          <w:rFonts w:ascii="Arial" w:hAnsi="Arial" w:cs="Arial"/>
          <w:sz w:val="20"/>
          <w:lang w:val="de-AT"/>
        </w:rPr>
        <w:t xml:space="preserve">Zentrum für Interdisziplinäre Alterns- und Care-Forschung (CIRAC), der Universität Graz – Klaus </w:t>
      </w:r>
      <w:proofErr w:type="spellStart"/>
      <w:r w:rsidRPr="00554790">
        <w:rPr>
          <w:rFonts w:ascii="Arial" w:hAnsi="Arial" w:cs="Arial"/>
          <w:sz w:val="20"/>
          <w:lang w:val="de-AT"/>
        </w:rPr>
        <w:t>Wegleitner</w:t>
      </w:r>
      <w:proofErr w:type="spellEnd"/>
    </w:p>
    <w:p w:rsidR="007B02AD" w:rsidRPr="00554790" w:rsidRDefault="007B02AD" w:rsidP="007B02AD">
      <w:pPr>
        <w:pStyle w:val="Listenabsatz"/>
        <w:numPr>
          <w:ilvl w:val="0"/>
          <w:numId w:val="2"/>
        </w:numPr>
        <w:rPr>
          <w:rFonts w:ascii="Arial" w:hAnsi="Arial" w:cs="Arial"/>
          <w:sz w:val="20"/>
          <w:lang w:val="de-AT"/>
        </w:rPr>
      </w:pPr>
      <w:r w:rsidRPr="00554790">
        <w:rPr>
          <w:rFonts w:ascii="Arial" w:hAnsi="Arial" w:cs="Arial"/>
          <w:sz w:val="20"/>
          <w:lang w:val="de-AT"/>
        </w:rPr>
        <w:t>IG Pflegende Angehörige</w:t>
      </w:r>
    </w:p>
    <w:p w:rsidR="007B02AD" w:rsidRPr="00554790" w:rsidRDefault="007B02AD" w:rsidP="007B02AD">
      <w:pPr>
        <w:pStyle w:val="Listenabsatz"/>
        <w:numPr>
          <w:ilvl w:val="0"/>
          <w:numId w:val="2"/>
        </w:numPr>
        <w:rPr>
          <w:rFonts w:ascii="Arial" w:hAnsi="Arial" w:cs="Arial"/>
          <w:sz w:val="20"/>
          <w:lang w:val="en-US"/>
        </w:rPr>
      </w:pPr>
      <w:r w:rsidRPr="00554790">
        <w:rPr>
          <w:rFonts w:ascii="Arial" w:hAnsi="Arial" w:cs="Arial"/>
          <w:sz w:val="20"/>
          <w:lang w:val="en-US"/>
        </w:rPr>
        <w:t xml:space="preserve">European Centre for Social Welfare Policy and Research (Kai </w:t>
      </w:r>
      <w:proofErr w:type="spellStart"/>
      <w:r w:rsidRPr="00554790">
        <w:rPr>
          <w:rFonts w:ascii="Arial" w:hAnsi="Arial" w:cs="Arial"/>
          <w:sz w:val="20"/>
          <w:lang w:val="en-US"/>
        </w:rPr>
        <w:t>Leichsenring</w:t>
      </w:r>
      <w:proofErr w:type="spellEnd"/>
      <w:r w:rsidRPr="00554790">
        <w:rPr>
          <w:rFonts w:ascii="Arial" w:hAnsi="Arial" w:cs="Arial"/>
          <w:sz w:val="20"/>
          <w:lang w:val="en-US"/>
        </w:rPr>
        <w:t>)</w:t>
      </w:r>
    </w:p>
    <w:p w:rsidR="007B02AD" w:rsidRPr="00554790" w:rsidRDefault="007B02AD" w:rsidP="007B02AD">
      <w:pPr>
        <w:pStyle w:val="Listenabsatz"/>
        <w:numPr>
          <w:ilvl w:val="0"/>
          <w:numId w:val="2"/>
        </w:numPr>
        <w:rPr>
          <w:rFonts w:ascii="Arial" w:hAnsi="Arial" w:cs="Arial"/>
          <w:sz w:val="20"/>
          <w:lang w:val="de-AT"/>
        </w:rPr>
      </w:pPr>
      <w:r w:rsidRPr="00554790">
        <w:rPr>
          <w:rFonts w:ascii="Arial" w:eastAsia="Times New Roman" w:hAnsi="Arial" w:cs="Arial"/>
          <w:sz w:val="20"/>
        </w:rPr>
        <w:t>Verein Sorgenetz</w:t>
      </w:r>
    </w:p>
    <w:p w:rsidR="007B02AD" w:rsidRPr="00554790" w:rsidRDefault="007B02AD" w:rsidP="007B02AD">
      <w:pPr>
        <w:pStyle w:val="Listenabsatz"/>
        <w:numPr>
          <w:ilvl w:val="0"/>
          <w:numId w:val="2"/>
        </w:numPr>
        <w:rPr>
          <w:rFonts w:ascii="Arial" w:hAnsi="Arial" w:cs="Arial"/>
          <w:sz w:val="20"/>
          <w:lang w:val="de-AT"/>
        </w:rPr>
      </w:pPr>
      <w:r w:rsidRPr="00554790">
        <w:rPr>
          <w:rFonts w:ascii="Arial" w:eastAsia="Times New Roman" w:hAnsi="Arial" w:cs="Arial"/>
          <w:sz w:val="20"/>
        </w:rPr>
        <w:t xml:space="preserve">ACHTSAMER 8. </w:t>
      </w:r>
    </w:p>
    <w:p w:rsidR="00CE52AC" w:rsidRPr="00554790" w:rsidRDefault="00CE52AC" w:rsidP="00950A2B">
      <w:pPr>
        <w:pStyle w:val="Listenabsatz"/>
        <w:numPr>
          <w:ilvl w:val="0"/>
          <w:numId w:val="2"/>
        </w:numPr>
        <w:rPr>
          <w:rFonts w:ascii="Arial" w:hAnsi="Arial" w:cs="Arial"/>
          <w:b/>
          <w:bCs/>
          <w:sz w:val="20"/>
          <w:lang w:val="de-AT"/>
        </w:rPr>
      </w:pPr>
      <w:r w:rsidRPr="00554790">
        <w:rPr>
          <w:rFonts w:ascii="Arial" w:hAnsi="Arial" w:cs="Arial"/>
          <w:color w:val="000000"/>
          <w:sz w:val="20"/>
        </w:rPr>
        <w:t>Melanie Albrecht, Dipl. Sozialbetreuerin für Altenarbeit</w:t>
      </w:r>
      <w:r w:rsidRPr="00554790">
        <w:rPr>
          <w:rFonts w:ascii="Arial" w:hAnsi="Arial" w:cs="Arial"/>
          <w:color w:val="000000"/>
          <w:sz w:val="20"/>
        </w:rPr>
        <w:br/>
      </w:r>
      <w:r w:rsidRPr="00554790">
        <w:rPr>
          <w:rFonts w:ascii="Arial" w:hAnsi="Arial" w:cs="Arial"/>
          <w:bCs/>
          <w:sz w:val="20"/>
          <w:lang w:val="de-AT"/>
        </w:rPr>
        <w:t>Regionalverantwortliche für 1. Demenzfreundliche Region Tirol/ Bezirk Imst</w:t>
      </w:r>
    </w:p>
    <w:p w:rsidR="000819A2" w:rsidRPr="00554790" w:rsidRDefault="000819A2" w:rsidP="000819A2">
      <w:pPr>
        <w:pStyle w:val="Listenabsatz"/>
        <w:numPr>
          <w:ilvl w:val="0"/>
          <w:numId w:val="3"/>
        </w:numPr>
        <w:rPr>
          <w:rFonts w:ascii="Arial" w:eastAsia="Times New Roman" w:hAnsi="Arial" w:cs="Arial"/>
          <w:sz w:val="20"/>
        </w:rPr>
      </w:pPr>
      <w:r w:rsidRPr="00554790">
        <w:rPr>
          <w:rFonts w:ascii="Arial" w:hAnsi="Arial" w:cs="Arial"/>
          <w:sz w:val="20"/>
          <w:lang w:val="de-AT"/>
        </w:rPr>
        <w:t xml:space="preserve">Verein Soziale Dienste Hartberg Fürstenfeld </w:t>
      </w:r>
    </w:p>
    <w:p w:rsidR="000819A2" w:rsidRPr="00554790" w:rsidRDefault="000819A2" w:rsidP="000819A2">
      <w:pPr>
        <w:pStyle w:val="Listenabsatz"/>
        <w:numPr>
          <w:ilvl w:val="0"/>
          <w:numId w:val="3"/>
        </w:numPr>
        <w:rPr>
          <w:rFonts w:ascii="Arial" w:eastAsia="Times New Roman" w:hAnsi="Arial" w:cs="Arial"/>
          <w:sz w:val="20"/>
        </w:rPr>
      </w:pPr>
      <w:r w:rsidRPr="00554790">
        <w:rPr>
          <w:rFonts w:ascii="Arial" w:eastAsia="Times New Roman" w:hAnsi="Arial" w:cs="Arial"/>
          <w:sz w:val="20"/>
        </w:rPr>
        <w:t xml:space="preserve">Karin </w:t>
      </w:r>
      <w:proofErr w:type="spellStart"/>
      <w:r w:rsidRPr="00554790">
        <w:rPr>
          <w:rFonts w:ascii="Arial" w:eastAsia="Times New Roman" w:hAnsi="Arial" w:cs="Arial"/>
          <w:sz w:val="20"/>
        </w:rPr>
        <w:t>Ondas</w:t>
      </w:r>
      <w:proofErr w:type="spellEnd"/>
      <w:r w:rsidRPr="00554790">
        <w:rPr>
          <w:rFonts w:ascii="Arial" w:eastAsia="Times New Roman" w:hAnsi="Arial" w:cs="Arial"/>
          <w:sz w:val="20"/>
        </w:rPr>
        <w:t xml:space="preserve">, Chance B </w:t>
      </w:r>
    </w:p>
    <w:p w:rsidR="00FB5F32" w:rsidRDefault="00FB5F32" w:rsidP="0001703F">
      <w:pPr>
        <w:pStyle w:val="Listenabsatz"/>
        <w:numPr>
          <w:ilvl w:val="0"/>
          <w:numId w:val="3"/>
        </w:numPr>
        <w:rPr>
          <w:rFonts w:ascii="Arial" w:hAnsi="Arial" w:cs="Arial"/>
          <w:sz w:val="20"/>
          <w:lang w:val="de-AT"/>
        </w:rPr>
      </w:pPr>
      <w:r w:rsidRPr="00554790">
        <w:rPr>
          <w:rFonts w:ascii="Arial" w:hAnsi="Arial" w:cs="Arial"/>
          <w:sz w:val="20"/>
          <w:lang w:val="de-AT"/>
        </w:rPr>
        <w:t>Angehörigen- und Demenzberatung, Caritas-Pflege Wien</w:t>
      </w:r>
      <w:r w:rsidR="0001703F" w:rsidRPr="00554790">
        <w:rPr>
          <w:rFonts w:ascii="Arial" w:hAnsi="Arial" w:cs="Arial"/>
          <w:sz w:val="20"/>
          <w:lang w:val="de-AT"/>
        </w:rPr>
        <w:t xml:space="preserve"> - </w:t>
      </w:r>
      <w:r w:rsidRPr="00554790">
        <w:rPr>
          <w:rFonts w:ascii="Arial" w:hAnsi="Arial" w:cs="Arial"/>
          <w:sz w:val="20"/>
          <w:lang w:val="de-AT"/>
        </w:rPr>
        <w:t xml:space="preserve">Norbert </w:t>
      </w:r>
      <w:proofErr w:type="spellStart"/>
      <w:r w:rsidRPr="00554790">
        <w:rPr>
          <w:rFonts w:ascii="Arial" w:hAnsi="Arial" w:cs="Arial"/>
          <w:sz w:val="20"/>
          <w:lang w:val="de-AT"/>
        </w:rPr>
        <w:t>Partl</w:t>
      </w:r>
      <w:proofErr w:type="spellEnd"/>
      <w:r w:rsidRPr="00554790">
        <w:rPr>
          <w:rFonts w:ascii="Arial" w:hAnsi="Arial" w:cs="Arial"/>
          <w:sz w:val="20"/>
          <w:lang w:val="de-AT"/>
        </w:rPr>
        <w:t xml:space="preserve">/Ute Ötsch </w:t>
      </w:r>
    </w:p>
    <w:p w:rsidR="00AB0AF8" w:rsidRPr="00554790" w:rsidRDefault="00AB0AF8" w:rsidP="0001703F">
      <w:pPr>
        <w:pStyle w:val="Listenabsatz"/>
        <w:numPr>
          <w:ilvl w:val="0"/>
          <w:numId w:val="3"/>
        </w:numPr>
        <w:rPr>
          <w:rFonts w:ascii="Arial" w:hAnsi="Arial" w:cs="Arial"/>
          <w:sz w:val="20"/>
          <w:lang w:val="de-AT"/>
        </w:rPr>
      </w:pPr>
      <w:bookmarkStart w:id="0" w:name="_GoBack"/>
      <w:proofErr w:type="spellStart"/>
      <w:r w:rsidRPr="00AB0AF8">
        <w:rPr>
          <w:rFonts w:ascii="Arial" w:hAnsi="Arial" w:cs="Arial"/>
          <w:sz w:val="20"/>
          <w:lang w:val="de-AT"/>
        </w:rPr>
        <w:t>JunA</w:t>
      </w:r>
      <w:proofErr w:type="spellEnd"/>
      <w:r w:rsidRPr="00AB0AF8">
        <w:rPr>
          <w:rFonts w:ascii="Arial" w:hAnsi="Arial" w:cs="Arial"/>
          <w:sz w:val="20"/>
          <w:lang w:val="de-AT"/>
        </w:rPr>
        <w:t xml:space="preserve"> - Verein Abenteuer Demenz</w:t>
      </w:r>
    </w:p>
    <w:bookmarkEnd w:id="0"/>
    <w:p w:rsidR="00554790" w:rsidRDefault="00554790" w:rsidP="00554790">
      <w:pPr>
        <w:ind w:left="360"/>
        <w:rPr>
          <w:rFonts w:ascii="Arial" w:hAnsi="Arial" w:cs="Arial"/>
          <w:b/>
          <w:sz w:val="20"/>
          <w:szCs w:val="24"/>
        </w:rPr>
      </w:pPr>
    </w:p>
    <w:p w:rsidR="00DC0E41" w:rsidRPr="00DC0E41" w:rsidRDefault="00554790" w:rsidP="00554790">
      <w:pPr>
        <w:rPr>
          <w:rFonts w:ascii="Arial" w:hAnsi="Arial" w:cs="Arial"/>
          <w:i/>
          <w:sz w:val="24"/>
          <w:szCs w:val="24"/>
        </w:rPr>
      </w:pPr>
      <w:r w:rsidRPr="00554790">
        <w:rPr>
          <w:rFonts w:ascii="Arial" w:hAnsi="Arial" w:cs="Arial"/>
          <w:b/>
          <w:sz w:val="20"/>
          <w:szCs w:val="24"/>
        </w:rPr>
        <w:t>Redaktion</w:t>
      </w:r>
      <w:r w:rsidRPr="00554790">
        <w:rPr>
          <w:rFonts w:ascii="Arial" w:hAnsi="Arial" w:cs="Arial"/>
          <w:sz w:val="20"/>
          <w:szCs w:val="24"/>
        </w:rPr>
        <w:t xml:space="preserve"> / Koordination: Kardinal König Haus</w:t>
      </w:r>
      <w:r>
        <w:rPr>
          <w:rFonts w:ascii="Arial" w:hAnsi="Arial" w:cs="Arial"/>
          <w:sz w:val="20"/>
          <w:szCs w:val="24"/>
        </w:rPr>
        <w:br/>
      </w:r>
      <w:r w:rsidR="00DC0E41" w:rsidRPr="00554790">
        <w:rPr>
          <w:rFonts w:ascii="Arial" w:hAnsi="Arial" w:cs="Arial"/>
          <w:b/>
          <w:sz w:val="20"/>
          <w:szCs w:val="24"/>
        </w:rPr>
        <w:t>Kontakt:</w:t>
      </w:r>
      <w:r>
        <w:rPr>
          <w:rFonts w:ascii="Arial" w:hAnsi="Arial" w:cs="Arial"/>
          <w:b/>
          <w:sz w:val="20"/>
          <w:szCs w:val="24"/>
        </w:rPr>
        <w:t xml:space="preserve"> </w:t>
      </w:r>
      <w:r w:rsidR="00DC0E41" w:rsidRPr="00554790">
        <w:rPr>
          <w:rFonts w:ascii="Arial" w:hAnsi="Arial" w:cs="Arial"/>
          <w:sz w:val="20"/>
          <w:szCs w:val="24"/>
        </w:rPr>
        <w:t xml:space="preserve">Petra Rösler, Kardinal König Haus, </w:t>
      </w:r>
      <w:hyperlink r:id="rId7" w:history="1">
        <w:r w:rsidR="00DC0E41" w:rsidRPr="00554790">
          <w:rPr>
            <w:sz w:val="20"/>
          </w:rPr>
          <w:t>roesler@kardinal-koenig-haus.at</w:t>
        </w:r>
      </w:hyperlink>
    </w:p>
    <w:sectPr w:rsidR="00DC0E41" w:rsidRPr="00DC0E4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1632E7"/>
    <w:multiLevelType w:val="hybridMultilevel"/>
    <w:tmpl w:val="ECA63166"/>
    <w:lvl w:ilvl="0" w:tplc="C9B6D26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E794528"/>
    <w:multiLevelType w:val="hybridMultilevel"/>
    <w:tmpl w:val="802C88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FB8"/>
    <w:rsid w:val="0001703F"/>
    <w:rsid w:val="000819A2"/>
    <w:rsid w:val="001D1B71"/>
    <w:rsid w:val="001E0C94"/>
    <w:rsid w:val="00274154"/>
    <w:rsid w:val="00276111"/>
    <w:rsid w:val="002E3065"/>
    <w:rsid w:val="003F0F92"/>
    <w:rsid w:val="003F6CBA"/>
    <w:rsid w:val="004032CD"/>
    <w:rsid w:val="00412B29"/>
    <w:rsid w:val="004E6998"/>
    <w:rsid w:val="004F2A96"/>
    <w:rsid w:val="005207B4"/>
    <w:rsid w:val="00524E8E"/>
    <w:rsid w:val="00554790"/>
    <w:rsid w:val="005B1A9A"/>
    <w:rsid w:val="006A1346"/>
    <w:rsid w:val="006B41B6"/>
    <w:rsid w:val="006C34D1"/>
    <w:rsid w:val="007B02AD"/>
    <w:rsid w:val="00825FB8"/>
    <w:rsid w:val="00844AF2"/>
    <w:rsid w:val="0087252F"/>
    <w:rsid w:val="008924EA"/>
    <w:rsid w:val="009A69D3"/>
    <w:rsid w:val="009D029E"/>
    <w:rsid w:val="00A04320"/>
    <w:rsid w:val="00A73FB8"/>
    <w:rsid w:val="00AB0AF8"/>
    <w:rsid w:val="00B65D84"/>
    <w:rsid w:val="00BA6FF0"/>
    <w:rsid w:val="00BC022E"/>
    <w:rsid w:val="00CB0A5E"/>
    <w:rsid w:val="00CE52AC"/>
    <w:rsid w:val="00D87B8A"/>
    <w:rsid w:val="00DC0E41"/>
    <w:rsid w:val="00E91D8C"/>
    <w:rsid w:val="00F57838"/>
    <w:rsid w:val="00F96026"/>
    <w:rsid w:val="00FB5F32"/>
    <w:rsid w:val="00FE68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288C6"/>
  <w15:chartTrackingRefBased/>
  <w15:docId w15:val="{D3EE800B-2220-4B07-BDCE-7DEA538F4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25FB8"/>
    <w:pPr>
      <w:ind w:left="720"/>
      <w:contextualSpacing/>
    </w:pPr>
  </w:style>
  <w:style w:type="character" w:styleId="Hyperlink">
    <w:name w:val="Hyperlink"/>
    <w:basedOn w:val="Absatz-Standardschriftart"/>
    <w:uiPriority w:val="99"/>
    <w:unhideWhenUsed/>
    <w:rsid w:val="00DC0E41"/>
    <w:rPr>
      <w:color w:val="0000FF" w:themeColor="hyperlink"/>
      <w:u w:val="single"/>
    </w:rPr>
  </w:style>
  <w:style w:type="character" w:customStyle="1" w:styleId="NichtaufgelsteErwhnung1">
    <w:name w:val="Nicht aufgelöste Erwähnung1"/>
    <w:basedOn w:val="Absatz-Standardschriftart"/>
    <w:uiPriority w:val="99"/>
    <w:semiHidden/>
    <w:unhideWhenUsed/>
    <w:rsid w:val="00DC0E41"/>
    <w:rPr>
      <w:color w:val="605E5C"/>
      <w:shd w:val="clear" w:color="auto" w:fill="E1DFDD"/>
    </w:rPr>
  </w:style>
  <w:style w:type="character" w:styleId="NichtaufgelsteErwhnung">
    <w:name w:val="Unresolved Mention"/>
    <w:basedOn w:val="Absatz-Standardschriftart"/>
    <w:uiPriority w:val="99"/>
    <w:semiHidden/>
    <w:unhideWhenUsed/>
    <w:rsid w:val="003F0F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77541">
      <w:bodyDiv w:val="1"/>
      <w:marLeft w:val="0"/>
      <w:marRight w:val="0"/>
      <w:marTop w:val="0"/>
      <w:marBottom w:val="0"/>
      <w:divBdr>
        <w:top w:val="none" w:sz="0" w:space="0" w:color="auto"/>
        <w:left w:val="none" w:sz="0" w:space="0" w:color="auto"/>
        <w:bottom w:val="none" w:sz="0" w:space="0" w:color="auto"/>
        <w:right w:val="none" w:sz="0" w:space="0" w:color="auto"/>
      </w:divBdr>
    </w:div>
    <w:div w:id="124125514">
      <w:bodyDiv w:val="1"/>
      <w:marLeft w:val="0"/>
      <w:marRight w:val="0"/>
      <w:marTop w:val="0"/>
      <w:marBottom w:val="0"/>
      <w:divBdr>
        <w:top w:val="none" w:sz="0" w:space="0" w:color="auto"/>
        <w:left w:val="none" w:sz="0" w:space="0" w:color="auto"/>
        <w:bottom w:val="none" w:sz="0" w:space="0" w:color="auto"/>
        <w:right w:val="none" w:sz="0" w:space="0" w:color="auto"/>
      </w:divBdr>
    </w:div>
    <w:div w:id="360788985">
      <w:bodyDiv w:val="1"/>
      <w:marLeft w:val="0"/>
      <w:marRight w:val="0"/>
      <w:marTop w:val="0"/>
      <w:marBottom w:val="0"/>
      <w:divBdr>
        <w:top w:val="none" w:sz="0" w:space="0" w:color="auto"/>
        <w:left w:val="none" w:sz="0" w:space="0" w:color="auto"/>
        <w:bottom w:val="none" w:sz="0" w:space="0" w:color="auto"/>
        <w:right w:val="none" w:sz="0" w:space="0" w:color="auto"/>
      </w:divBdr>
    </w:div>
    <w:div w:id="805898305">
      <w:bodyDiv w:val="1"/>
      <w:marLeft w:val="0"/>
      <w:marRight w:val="0"/>
      <w:marTop w:val="0"/>
      <w:marBottom w:val="0"/>
      <w:divBdr>
        <w:top w:val="none" w:sz="0" w:space="0" w:color="auto"/>
        <w:left w:val="none" w:sz="0" w:space="0" w:color="auto"/>
        <w:bottom w:val="none" w:sz="0" w:space="0" w:color="auto"/>
        <w:right w:val="none" w:sz="0" w:space="0" w:color="auto"/>
      </w:divBdr>
    </w:div>
    <w:div w:id="990982381">
      <w:bodyDiv w:val="1"/>
      <w:marLeft w:val="0"/>
      <w:marRight w:val="0"/>
      <w:marTop w:val="0"/>
      <w:marBottom w:val="0"/>
      <w:divBdr>
        <w:top w:val="none" w:sz="0" w:space="0" w:color="auto"/>
        <w:left w:val="none" w:sz="0" w:space="0" w:color="auto"/>
        <w:bottom w:val="none" w:sz="0" w:space="0" w:color="auto"/>
        <w:right w:val="none" w:sz="0" w:space="0" w:color="auto"/>
      </w:divBdr>
    </w:div>
    <w:div w:id="1050418229">
      <w:bodyDiv w:val="1"/>
      <w:marLeft w:val="0"/>
      <w:marRight w:val="0"/>
      <w:marTop w:val="0"/>
      <w:marBottom w:val="0"/>
      <w:divBdr>
        <w:top w:val="none" w:sz="0" w:space="0" w:color="auto"/>
        <w:left w:val="none" w:sz="0" w:space="0" w:color="auto"/>
        <w:bottom w:val="none" w:sz="0" w:space="0" w:color="auto"/>
        <w:right w:val="none" w:sz="0" w:space="0" w:color="auto"/>
      </w:divBdr>
    </w:div>
    <w:div w:id="1267423253">
      <w:bodyDiv w:val="1"/>
      <w:marLeft w:val="0"/>
      <w:marRight w:val="0"/>
      <w:marTop w:val="0"/>
      <w:marBottom w:val="0"/>
      <w:divBdr>
        <w:top w:val="none" w:sz="0" w:space="0" w:color="auto"/>
        <w:left w:val="none" w:sz="0" w:space="0" w:color="auto"/>
        <w:bottom w:val="none" w:sz="0" w:space="0" w:color="auto"/>
        <w:right w:val="none" w:sz="0" w:space="0" w:color="auto"/>
      </w:divBdr>
    </w:div>
    <w:div w:id="1385564372">
      <w:bodyDiv w:val="1"/>
      <w:marLeft w:val="0"/>
      <w:marRight w:val="0"/>
      <w:marTop w:val="0"/>
      <w:marBottom w:val="0"/>
      <w:divBdr>
        <w:top w:val="none" w:sz="0" w:space="0" w:color="auto"/>
        <w:left w:val="none" w:sz="0" w:space="0" w:color="auto"/>
        <w:bottom w:val="none" w:sz="0" w:space="0" w:color="auto"/>
        <w:right w:val="none" w:sz="0" w:space="0" w:color="auto"/>
      </w:divBdr>
    </w:div>
    <w:div w:id="1515071189">
      <w:bodyDiv w:val="1"/>
      <w:marLeft w:val="0"/>
      <w:marRight w:val="0"/>
      <w:marTop w:val="0"/>
      <w:marBottom w:val="0"/>
      <w:divBdr>
        <w:top w:val="none" w:sz="0" w:space="0" w:color="auto"/>
        <w:left w:val="none" w:sz="0" w:space="0" w:color="auto"/>
        <w:bottom w:val="none" w:sz="0" w:space="0" w:color="auto"/>
        <w:right w:val="none" w:sz="0" w:space="0" w:color="auto"/>
      </w:divBdr>
    </w:div>
    <w:div w:id="153461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oesler@kardinal-koenig-haus.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oeg.at/Community_Nursing_Oesterreich"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1283</Words>
  <Characters>8090</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Rösler</dc:creator>
  <cp:keywords/>
  <dc:description/>
  <cp:lastModifiedBy>Petra Rösler</cp:lastModifiedBy>
  <cp:revision>6</cp:revision>
  <cp:lastPrinted>2021-10-07T06:52:00Z</cp:lastPrinted>
  <dcterms:created xsi:type="dcterms:W3CDTF">2021-10-14T13:27:00Z</dcterms:created>
  <dcterms:modified xsi:type="dcterms:W3CDTF">2021-10-21T07:10:00Z</dcterms:modified>
</cp:coreProperties>
</file>